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225</w:t>
      </w:r>
    </w:p>
    <w:p>
      <w:r>
        <w:t>Bundesgericht (BGE), 2008-06-27, DE</w:t>
      </w:r>
    </w:p>
    <w:p>
      <w:r>
        <w:rPr>
          <w:b/>
        </w:rPr>
        <w:t xml:space="preserve">Quelle: </w:t>
      </w:r>
      <w:r>
        <w:t>https://mcp.opencaselaw.ch/entscheid/bge_135 III 225</w:t>
      </w:r>
    </w:p>
    <w:p>
      <w:r>
        <w:t>FR: ATF 135 III 225</w:t>
      </w:r>
    </w:p>
    <w:p>
      <w:r>
        <w:t>IT: DTF 135 III 225</w:t>
      </w:r>
    </w:p>
    <w:p>
      <w:pPr>
        <w:pStyle w:val="Heading2"/>
      </w:pPr>
      <w:r>
        <w:t>Regeste</w:t>
      </w:r>
    </w:p>
    <w:p>
      <w:r>
        <w:t>Regeste Krankentaggeldversicherung nach VVG; allgemeine Geschäftsbedingungen; Ungewöhnlichkeitsregel. Eine Bestimmung, wonach der Versicherer den maximalen zeitlichen Umfang seiner Leistungspflicht nach Eintritt des Versicherungsfalles durch einseitige Willenserklärung beeinflussen kann, ist ungewöhnlich (E. 1).</w:t>
      </w:r>
    </w:p>
    <w:p>
      <w:pPr>
        <w:pStyle w:val="Heading2"/>
      </w:pPr>
      <w:r>
        <w:t>Erwägungen</w:t>
      </w:r>
    </w:p>
    <w:p>
      <w:r>
        <w:rPr>
          <w:b/>
        </w:rPr>
        <w:t>E. 1</w:t>
      </w:r>
    </w:p>
    <w:p>
      <w:r>
        <w:t>Gemäss Versicherungspolice vom 3. April 2003 vereinbarten die Parteien bei einem versicherten Jahreslohn von Fr. 73'000.- die Ausrichtung eines Taggeldes im Rahmen von maximal Fr. 200.- pro Kalendertag für 720 Tage abzüglich einer Wartefrist von 30 Tagen pro Fall. Als Versicherungsbeginn wurde der 1. Januar 2000, als Ablauf der 31. Dezember 2003 festgesetzt. Als Vertragsgrundlage wurden die allgemeinen Versicherungsbedingungen (AVB), Ausgabe 2002, genannt. Unter dem Titel "Ende des Versicherungsschutzes" bestimmt Art. 22 Abs. 1 lit. c AVB, für die einzelne versicherte Person erlösche der Versicherungsschutz bei Erlöschen des Vertrages. Gemäss Art. 22 Abs. 2 AVB werden in diesem Fall im Zeitpunkt des Erlöschens des Versicherungsschutzes die vertraglichen Leistungen für laufende Krankheiten noch während den folgenden 180 Tagen bzw. bis zum Ablauf der vereinbarten Leistungsdauer, längstens jedoch bis zum Beginn einer Rente nach BVG (SR 831.40) ausgerichtet. Gemäss Art. 23 Abs. 2 AVB ist der Vertrag für die in der Police genannte Dauer abgeschlossen und verlängert sich stillschweigend um ein Jahr, wenn er nicht rechtzeitig gekündigt wird. BGE 135 III 225 S. 227</w:t>
      </w:r>
    </w:p>
    <w:p>
      <w:r>
        <w:rPr>
          <w:b/>
        </w:rPr>
        <w:t>E. 1.1</w:t>
      </w:r>
    </w:p>
    <w:p>
      <w:r>
        <w:t>Dass die Kündigung des Versicherungsvertrages durch die Beschwerdegegnerin rechtsgültig erfolgte, ist zwischen den Parteien nicht umstritten. Die Vorinstanz schloss daraus, das Versicherungsverhältnis habe am 31. Dezember 2003 geendet, was mit dem Erlöschen des Vertrages nach Art. 22 Abs. 1 lit. c AVB gleichzusetzen sei. Für diesen Zeitpunkt bestimme Art. 22 Abs. 2 Satz 1 AVB, dass die vertraglichen Leistungen für laufende Krankheiten und Unfälle noch während der folgenden 180 Tage beziehungsweise bis zum Ablauf der vereinbarten Leistungsdauer ausgerichtet würden. Diese Bestimmung ist nach Auffassung der Vorinstanz hinreichend klar. Die Formulierung "beziehungsweise bis zum Ablauf der vereinbarten Leistungen" sei aufgrund des Umstands, dass es der Beschwerdegegnerin nicht verwehrt gewesen sei, nach Eintritt des Schadenfalles den Taggeldvertrag zu kündigen (Art. 23 Abs. 2 AVB), limitierend zu verstehen. Werde fristgerecht gekündigt, erlösche der Versicherungsschutz auf den Kündigungszeitpunkt, selbst wenn in einem laufenden Schadensfall noch nicht sämtliche Taggelder erschöpft sein sollten. Es seien somit grundsätzlich keine Leistungen über diesen Zeitpunkt hinaus geschuldet, mit der Ausnahme der hier vereinbarten Nachdeckung von 180 Taggeldern. Diese seien erbracht worden, weshalb die Klage bereits aus diesem Grund abgewiesen werden müsse und die Frage der Verjährung offengelassen werden könne.</w:t>
      </w:r>
    </w:p>
    <w:p>
      <w:r>
        <w:rPr>
          <w:b/>
        </w:rPr>
        <w:t>E. 1.2</w:t>
      </w:r>
    </w:p>
    <w:p>
      <w:r>
        <w:t>Die Beschwerdeführerin ist der Auffassung, selbst wenn die in den AVB enthaltene Regelung als hinreichend klar angesehen werde, könne die Beschwerdegegnerin nichts daraus ableiten, da die Regelung ungewöhnlich sei und zudem den konkreten Abmachungen in der Versicherungspolice widerspreche.</w:t>
      </w:r>
    </w:p>
    <w:p>
      <w:r>
        <w:rPr>
          <w:b/>
        </w:rPr>
        <w:t>E. 1.3</w:t>
      </w:r>
    </w:p>
    <w:p>
      <w:r>
        <w:t>Vorformulierte allgemeine Geschäftsbedingungen (AGB) sind, wenn sie in Verträge übernommen werden, grundsätzlich nach denselben Prinzipien auszulegen wie andere vertragliche Bestimmungen ( BGE 135 III 1 E. 2 S. 6 mit Hinweisen).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BGE 135 III 225 S. 228 Rechtsstellung des Vertragspartners beeinträchtigt, desto eher ist sie als ungewöhnlich zu qualifizieren ( BGE 135 III 1 E. 2.1 S. 7; BGE 119 II 443 E. 1a S. 446 mit Hinweisen).</w:t>
      </w:r>
    </w:p>
    <w:p>
      <w:r>
        <w:rPr>
          <w:b/>
        </w:rPr>
        <w:t>E. 1.4</w:t>
      </w:r>
    </w:p>
    <w:p>
      <w:r>
        <w:t>Bereits in systematischer Hinsicht fällt auf, dass sich die strittige Regelung nicht unter den Bestimmungen zum Umfang der Leistungen, sondern zur Dauer des Versicherungsschutzes befindet, obwohl sie sich inhaltlich auf die Dauer der Leistungserbringung und damit auf den Leistungsumfang bezieht. Dieser beträgt gemäss der besonderen Parteiabrede, welche den allgemeinen Vertragsbestimmungen vorgeht ( BGE 125 III 263 E. 4b/bb S. 266 f. mit Hinweisen), maximal 720 Tage pro Versicherungsfall. Nach dem umstrittenen Art. 22 Abs. 2 AVB wirkt sich aber ein Erlöschen des Versicherungsschutzes auf bereits eingetretene Versicherungsfälle leistungsverkürzend aus, selbst wenn das Vertragsende durch eine Kündigung seitens des Versicherungsunternehmens hervorgerufen wurde. Nach dieser Regel hätte es der Versicherer ab einem gewissen Zeitpunkt in der Hand, durch die Kündigung die Leistungsdauer abzukürzen und so das vereinbarte Maximum von 720 Tagen nicht zur Anwendung kommen zu lassen. Eine derartige Möglichkeit des Versicherungsunternehmens, durch einseitige Willenserklärung nach Eintritt des Versicherungsfalles auf den zeitlichen Umfang der geschuldeten Leistungen Einfluss zu nehmen, ist dem Wesen des Versicherungsvertrages und generell dem Grundsatz "pacta sunt servanda" (vgl. hierzu BGE 135 III 1 E. 2.4 S. 9) fremd. Bei Abschluss des Vertrages muss der Versicherungsnehmer vernünftigerweise weder damit rechnen, dass der Versicherungsschutz gegen Ende der Vertragsdauer abnimmt, noch damit, dass der Versicherer nach Belieben eine bereits entstandene Leistungspflicht durch Kündigung des Vertrages reduzieren kann. Art. 22 Abs. 2 AVB hätte zur Folge, dass der Versicherte beim Eintritt eines Schadens gegen Ende der ursprünglich vereinbarten Vertragsdauer die Leistungsdauer zufolge der Ungewissheit über den Fortbestand des Versicherungsvertrages nicht abschätzen könnte. Die Deckungslücken, die durch die Kürzung der Leistungen infolge Kündigung entstünden, blieben auch beim Abschluss eines neuen, an den beendigten anschliessenden Versicherungsvertrages offen ( Art. 9 VVG ; NEF, in: Basler Kommentar, Bundesgesetz über den Versicherungsvertrag [VVG], 2001, N. 1 zu Art. 9 VVG ). Vor diesem Hintergrund konnte die Versicherung nach Treu und Glauben nicht davon ausgehen, die Beschwerdeführerin würde einer derartigen Klausel zustimmen. BGE 135 III 225 S. 229</w:t>
      </w:r>
    </w:p>
    <w:p>
      <w:r>
        <w:rPr>
          <w:b/>
        </w:rPr>
        <w:t>E. 1.5</w:t>
      </w:r>
    </w:p>
    <w:p>
      <w:r>
        <w:t>Nach dem Gesagten genügt die globale Übernahme der AVB nicht, um die in Art. 22 Abs. 2 AVB vorgesehene Kürzung der Leistungen bei Kündigung des Vertrages zur Anwendung kommen zu lassen. Dass die Beschwerdeführerin bei Vertragsschluss auf diese Klausel speziell hingewiesen worden wäre, ist nicht festgestellt. Daher kann die Beschwerdegegnerin aus Art. 22 Abs. 2 AVB nichts zu ihren Gunsten ableiten, und es kann offenbleiben, ob die Bestimmung hinreichend klar und überhaupt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